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C2" w:rsidRPr="00E41A3A" w:rsidRDefault="00F67BC2" w:rsidP="00F67BC2">
      <w:pPr>
        <w:jc w:val="center"/>
        <w:rPr>
          <w:rFonts w:ascii="標楷體" w:eastAsia="標楷體" w:hAnsi="標楷體"/>
          <w:sz w:val="32"/>
          <w:szCs w:val="28"/>
        </w:rPr>
      </w:pPr>
      <w:r w:rsidRPr="00E41A3A">
        <w:rPr>
          <w:rFonts w:ascii="標楷體" w:eastAsia="標楷體" w:hAnsi="標楷體" w:hint="eastAsia"/>
          <w:sz w:val="32"/>
          <w:szCs w:val="28"/>
        </w:rPr>
        <w:t>國立臺南大學教師以教學實務成果升等外審委員遴聘要點</w:t>
      </w:r>
    </w:p>
    <w:p w:rsidR="00F67BC2" w:rsidRDefault="00F67BC2" w:rsidP="00E41A3A">
      <w:pPr>
        <w:spacing w:line="280" w:lineRule="exact"/>
        <w:jc w:val="right"/>
        <w:rPr>
          <w:rFonts w:ascii="標楷體" w:eastAsia="標楷體" w:hAnsi="標楷體"/>
          <w:sz w:val="20"/>
        </w:rPr>
      </w:pPr>
      <w:r w:rsidRPr="001E78F7">
        <w:rPr>
          <w:rFonts w:ascii="標楷體" w:eastAsia="標楷體" w:hAnsi="標楷體" w:hint="eastAsia"/>
          <w:sz w:val="20"/>
        </w:rPr>
        <w:t>105年</w:t>
      </w:r>
      <w:r>
        <w:rPr>
          <w:rFonts w:ascii="標楷體" w:eastAsia="標楷體" w:hAnsi="標楷體" w:hint="eastAsia"/>
          <w:sz w:val="20"/>
        </w:rPr>
        <w:t>6</w:t>
      </w:r>
      <w:r w:rsidRPr="001E78F7">
        <w:rPr>
          <w:rFonts w:ascii="標楷體" w:eastAsia="標楷體" w:hAnsi="標楷體" w:hint="eastAsia"/>
          <w:sz w:val="20"/>
        </w:rPr>
        <w:t>月2</w:t>
      </w:r>
      <w:r>
        <w:rPr>
          <w:rFonts w:ascii="標楷體" w:eastAsia="標楷體" w:hAnsi="標楷體"/>
          <w:sz w:val="20"/>
        </w:rPr>
        <w:t>8</w:t>
      </w:r>
      <w:r w:rsidRPr="001E78F7">
        <w:rPr>
          <w:rFonts w:ascii="標楷體" w:eastAsia="標楷體" w:hAnsi="標楷體" w:hint="eastAsia"/>
          <w:sz w:val="20"/>
        </w:rPr>
        <w:t>日104學年度第</w:t>
      </w:r>
      <w:r>
        <w:rPr>
          <w:rFonts w:ascii="標楷體" w:eastAsia="標楷體" w:hAnsi="標楷體" w:hint="eastAsia"/>
          <w:sz w:val="20"/>
        </w:rPr>
        <w:t>6</w:t>
      </w:r>
      <w:r w:rsidRPr="001E78F7">
        <w:rPr>
          <w:rFonts w:ascii="標楷體" w:eastAsia="標楷體" w:hAnsi="標楷體" w:hint="eastAsia"/>
          <w:sz w:val="20"/>
        </w:rPr>
        <w:t>次校教評會審議通過</w:t>
      </w:r>
    </w:p>
    <w:p w:rsidR="00E41A3A" w:rsidRPr="004F0568" w:rsidRDefault="00E41A3A" w:rsidP="00E41A3A">
      <w:pPr>
        <w:spacing w:line="280" w:lineRule="exact"/>
        <w:jc w:val="right"/>
        <w:rPr>
          <w:rFonts w:ascii="標楷體" w:eastAsia="標楷體" w:hAnsi="標楷體" w:hint="eastAsia"/>
          <w:sz w:val="28"/>
          <w:szCs w:val="28"/>
        </w:rPr>
      </w:pPr>
      <w:r>
        <w:rPr>
          <w:rFonts w:ascii="標楷體" w:eastAsia="標楷體" w:hAnsi="標楷體" w:hint="eastAsia"/>
          <w:sz w:val="20"/>
        </w:rPr>
        <w:t>105年11月16日105學年度第1學期第1次校務會議審議通過</w:t>
      </w:r>
    </w:p>
    <w:p w:rsidR="00F67BC2" w:rsidRPr="003C2E93" w:rsidRDefault="00F67BC2" w:rsidP="00E41A3A">
      <w:pPr>
        <w:pStyle w:val="a7"/>
        <w:numPr>
          <w:ilvl w:val="0"/>
          <w:numId w:val="9"/>
        </w:numPr>
        <w:spacing w:beforeLines="50" w:before="180" w:line="400" w:lineRule="exact"/>
        <w:ind w:leftChars="0" w:left="614" w:hangingChars="236" w:hanging="614"/>
        <w:jc w:val="both"/>
        <w:rPr>
          <w:rFonts w:ascii="標楷體" w:eastAsia="標楷體" w:hAnsi="標楷體"/>
          <w:sz w:val="26"/>
          <w:szCs w:val="26"/>
        </w:rPr>
      </w:pPr>
      <w:r w:rsidRPr="003C2E93">
        <w:rPr>
          <w:rFonts w:ascii="標楷體" w:eastAsia="標楷體" w:hAnsi="標楷體" w:hint="eastAsia"/>
          <w:sz w:val="26"/>
          <w:szCs w:val="26"/>
        </w:rPr>
        <w:t>為辦理教師以教學實務成果報告書升等(以下簡稱教學實務成果升等)外審事宜，特訂定本要點。</w:t>
      </w:r>
    </w:p>
    <w:p w:rsidR="00F67BC2" w:rsidRPr="003C2E93" w:rsidRDefault="00F67BC2" w:rsidP="00E41A3A">
      <w:pPr>
        <w:pStyle w:val="a7"/>
        <w:numPr>
          <w:ilvl w:val="0"/>
          <w:numId w:val="9"/>
        </w:numPr>
        <w:spacing w:line="400" w:lineRule="exact"/>
        <w:ind w:leftChars="0" w:left="567" w:hanging="567"/>
        <w:jc w:val="both"/>
        <w:rPr>
          <w:rFonts w:ascii="標楷體" w:eastAsia="標楷體" w:hAnsi="標楷體"/>
          <w:sz w:val="26"/>
          <w:szCs w:val="26"/>
        </w:rPr>
      </w:pPr>
      <w:r w:rsidRPr="003C2E93">
        <w:rPr>
          <w:rFonts w:ascii="標楷體" w:eastAsia="標楷體" w:hAnsi="標楷體" w:hint="eastAsia"/>
          <w:sz w:val="26"/>
          <w:szCs w:val="26"/>
        </w:rPr>
        <w:t>教學實務成果升等外審委員應符合下列資格條件之一，遴聘優先順序如下：</w:t>
      </w:r>
    </w:p>
    <w:p w:rsidR="00F67BC2" w:rsidRPr="003C2E93" w:rsidRDefault="00F67BC2" w:rsidP="00E41A3A">
      <w:pPr>
        <w:pStyle w:val="a7"/>
        <w:numPr>
          <w:ilvl w:val="1"/>
          <w:numId w:val="9"/>
        </w:numPr>
        <w:spacing w:line="400" w:lineRule="exact"/>
        <w:ind w:leftChars="0" w:left="1134" w:hanging="654"/>
        <w:jc w:val="both"/>
        <w:rPr>
          <w:rFonts w:ascii="標楷體" w:eastAsia="標楷體" w:hAnsi="標楷體"/>
          <w:sz w:val="26"/>
          <w:szCs w:val="26"/>
        </w:rPr>
      </w:pPr>
      <w:r w:rsidRPr="003C2E93">
        <w:rPr>
          <w:rFonts w:ascii="標楷體" w:eastAsia="標楷體" w:hAnsi="Times New Roman" w:cs="標楷體" w:hint="eastAsia"/>
          <w:kern w:val="0"/>
          <w:sz w:val="26"/>
          <w:szCs w:val="26"/>
        </w:rPr>
        <w:t>曾獲國家級教學優良獎或各校校級教學傑出</w:t>
      </w:r>
      <w:r w:rsidRPr="003C2E93">
        <w:rPr>
          <w:rFonts w:ascii="¼Ð·¢Åé" w:hAnsi="¼Ð·¢Åé" w:cs="¼Ð·¢Åé"/>
          <w:kern w:val="0"/>
          <w:sz w:val="26"/>
          <w:szCs w:val="26"/>
        </w:rPr>
        <w:t>/</w:t>
      </w:r>
      <w:r w:rsidRPr="003C2E93">
        <w:rPr>
          <w:rFonts w:ascii="標楷體" w:eastAsia="標楷體" w:hAnsi="Times New Roman" w:cs="標楷體" w:hint="eastAsia"/>
          <w:kern w:val="0"/>
          <w:sz w:val="26"/>
          <w:szCs w:val="26"/>
        </w:rPr>
        <w:t>教學優良獎之大學教授或副教授為優先。</w:t>
      </w:r>
    </w:p>
    <w:p w:rsidR="00F67BC2" w:rsidRPr="003C2E93" w:rsidRDefault="00F67BC2" w:rsidP="00E41A3A">
      <w:pPr>
        <w:pStyle w:val="a7"/>
        <w:numPr>
          <w:ilvl w:val="1"/>
          <w:numId w:val="9"/>
        </w:numPr>
        <w:spacing w:line="400" w:lineRule="exact"/>
        <w:ind w:leftChars="0" w:left="1134" w:hanging="654"/>
        <w:jc w:val="both"/>
        <w:rPr>
          <w:rFonts w:ascii="標楷體" w:eastAsia="標楷體" w:hAnsi="Times New Roman" w:cs="標楷體"/>
          <w:kern w:val="0"/>
          <w:sz w:val="26"/>
          <w:szCs w:val="26"/>
        </w:rPr>
      </w:pPr>
      <w:r w:rsidRPr="003C2E93">
        <w:rPr>
          <w:rFonts w:ascii="標楷體" w:eastAsia="標楷體" w:hAnsi="Times New Roman" w:cs="標楷體" w:hint="eastAsia"/>
          <w:kern w:val="0"/>
          <w:sz w:val="26"/>
          <w:szCs w:val="26"/>
        </w:rPr>
        <w:t>曾以教學實務研究升等之教授或副教授。</w:t>
      </w:r>
    </w:p>
    <w:p w:rsidR="00F67BC2" w:rsidRPr="003C2E93" w:rsidRDefault="00F67BC2" w:rsidP="00E41A3A">
      <w:pPr>
        <w:pStyle w:val="a7"/>
        <w:numPr>
          <w:ilvl w:val="1"/>
          <w:numId w:val="9"/>
        </w:numPr>
        <w:spacing w:line="400" w:lineRule="exact"/>
        <w:ind w:leftChars="0" w:left="1134" w:hanging="654"/>
        <w:jc w:val="both"/>
        <w:rPr>
          <w:rFonts w:ascii="標楷體" w:eastAsia="標楷體" w:hAnsi="Times New Roman" w:cs="標楷體"/>
          <w:kern w:val="0"/>
          <w:sz w:val="26"/>
          <w:szCs w:val="26"/>
        </w:rPr>
      </w:pPr>
      <w:r w:rsidRPr="003C2E93">
        <w:rPr>
          <w:rFonts w:ascii="標楷體" w:eastAsia="標楷體" w:hAnsi="Times New Roman" w:cs="標楷體" w:hint="eastAsia"/>
          <w:kern w:val="0"/>
          <w:sz w:val="26"/>
          <w:szCs w:val="26"/>
        </w:rPr>
        <w:t>各學門結合教育專長之學者，如科學教育、社工教育、醫學教育、藝術教育、通識教育等，曾發表與各學門教育相關領域之著作</w:t>
      </w:r>
      <w:r w:rsidRPr="003C2E93">
        <w:rPr>
          <w:rFonts w:ascii="標楷體" w:eastAsia="標楷體" w:hAnsi="Times New Roman" w:cs="標楷體"/>
          <w:kern w:val="0"/>
          <w:sz w:val="26"/>
          <w:szCs w:val="26"/>
        </w:rPr>
        <w:t>(SCI/SSCI/TSSCI</w:t>
      </w:r>
      <w:r w:rsidR="00E41A3A" w:rsidRPr="003C2E93">
        <w:rPr>
          <w:rFonts w:ascii="標楷體" w:eastAsia="標楷體" w:hAnsi="Times New Roman" w:cs="標楷體"/>
          <w:kern w:val="0"/>
          <w:sz w:val="26"/>
          <w:szCs w:val="26"/>
        </w:rPr>
        <w:t>/AHCI/THCI</w:t>
      </w:r>
      <w:r w:rsidRPr="003C2E93">
        <w:rPr>
          <w:rFonts w:ascii="標楷體" w:eastAsia="標楷體" w:hAnsi="Times New Roman" w:cs="標楷體" w:hint="eastAsia"/>
          <w:kern w:val="0"/>
          <w:sz w:val="26"/>
          <w:szCs w:val="26"/>
        </w:rPr>
        <w:t>論文或專書</w:t>
      </w:r>
      <w:r w:rsidRPr="003C2E93">
        <w:rPr>
          <w:rFonts w:ascii="標楷體" w:eastAsia="標楷體" w:hAnsi="Times New Roman" w:cs="標楷體"/>
          <w:kern w:val="0"/>
          <w:sz w:val="26"/>
          <w:szCs w:val="26"/>
        </w:rPr>
        <w:t>)</w:t>
      </w:r>
      <w:r w:rsidRPr="003C2E93">
        <w:rPr>
          <w:rFonts w:ascii="標楷體" w:eastAsia="標楷體" w:hAnsi="Times New Roman" w:cs="標楷體" w:hint="eastAsia"/>
          <w:kern w:val="0"/>
          <w:sz w:val="26"/>
          <w:szCs w:val="26"/>
        </w:rPr>
        <w:t>，或曾擔任各學門教育相關期刊之編輯委員。</w:t>
      </w:r>
    </w:p>
    <w:p w:rsidR="00F67BC2" w:rsidRPr="003C2E93" w:rsidRDefault="00F67BC2" w:rsidP="00E41A3A">
      <w:pPr>
        <w:pStyle w:val="a7"/>
        <w:numPr>
          <w:ilvl w:val="1"/>
          <w:numId w:val="9"/>
        </w:numPr>
        <w:spacing w:line="400" w:lineRule="exact"/>
        <w:ind w:leftChars="0" w:left="1134" w:hanging="654"/>
        <w:jc w:val="both"/>
        <w:rPr>
          <w:rFonts w:ascii="標楷體" w:eastAsia="標楷體" w:hAnsi="Times New Roman" w:cs="標楷體"/>
          <w:kern w:val="0"/>
          <w:sz w:val="26"/>
          <w:szCs w:val="26"/>
        </w:rPr>
      </w:pPr>
      <w:r w:rsidRPr="003C2E93">
        <w:rPr>
          <w:rFonts w:ascii="標楷體" w:eastAsia="標楷體" w:hAnsi="Times New Roman" w:cs="標楷體" w:hint="eastAsia"/>
          <w:kern w:val="0"/>
          <w:sz w:val="26"/>
          <w:szCs w:val="26"/>
        </w:rPr>
        <w:t>師資培育中心和教育相關系所教授具有課程、教學、評量等教學實務專長者，尤以擔任各領域</w:t>
      </w:r>
      <w:r w:rsidRPr="003C2E93">
        <w:rPr>
          <w:rFonts w:ascii="標楷體" w:eastAsia="標楷體" w:hAnsi="Times New Roman" w:cs="標楷體"/>
          <w:kern w:val="0"/>
          <w:sz w:val="26"/>
          <w:szCs w:val="26"/>
        </w:rPr>
        <w:t>/</w:t>
      </w:r>
      <w:r w:rsidRPr="003C2E93">
        <w:rPr>
          <w:rFonts w:ascii="標楷體" w:eastAsia="標楷體" w:hAnsi="Times New Roman" w:cs="標楷體" w:hint="eastAsia"/>
          <w:kern w:val="0"/>
          <w:sz w:val="26"/>
          <w:szCs w:val="26"/>
        </w:rPr>
        <w:t>學科教材教法、教學實習之教授為優先。</w:t>
      </w:r>
    </w:p>
    <w:p w:rsidR="00F67BC2" w:rsidRPr="003C2E93" w:rsidRDefault="00F67BC2" w:rsidP="00E41A3A">
      <w:pPr>
        <w:pStyle w:val="a7"/>
        <w:numPr>
          <w:ilvl w:val="1"/>
          <w:numId w:val="9"/>
        </w:numPr>
        <w:spacing w:line="400" w:lineRule="exact"/>
        <w:ind w:leftChars="0" w:left="1134" w:hanging="654"/>
        <w:jc w:val="both"/>
        <w:rPr>
          <w:rFonts w:ascii="標楷體" w:eastAsia="標楷體" w:hAnsi="Times New Roman" w:cs="標楷體"/>
          <w:kern w:val="0"/>
          <w:sz w:val="26"/>
          <w:szCs w:val="26"/>
        </w:rPr>
      </w:pPr>
      <w:r w:rsidRPr="003C2E93">
        <w:rPr>
          <w:rFonts w:ascii="標楷體" w:eastAsia="標楷體" w:hAnsi="Times New Roman" w:cs="標楷體" w:hint="eastAsia"/>
          <w:kern w:val="0"/>
          <w:sz w:val="26"/>
          <w:szCs w:val="26"/>
        </w:rPr>
        <w:t>具有科技融入教學專長之教授或副教授。</w:t>
      </w:r>
    </w:p>
    <w:p w:rsidR="00F67BC2" w:rsidRPr="003C2E93" w:rsidRDefault="00F67BC2" w:rsidP="00E41A3A">
      <w:pPr>
        <w:pStyle w:val="a7"/>
        <w:numPr>
          <w:ilvl w:val="0"/>
          <w:numId w:val="9"/>
        </w:numPr>
        <w:spacing w:line="400" w:lineRule="exact"/>
        <w:ind w:leftChars="0" w:left="567" w:hanging="567"/>
        <w:jc w:val="both"/>
        <w:rPr>
          <w:rFonts w:ascii="標楷體" w:eastAsia="標楷體" w:hAnsi="標楷體"/>
          <w:sz w:val="26"/>
          <w:szCs w:val="26"/>
        </w:rPr>
      </w:pPr>
      <w:r w:rsidRPr="003C2E93">
        <w:rPr>
          <w:rFonts w:ascii="標楷體" w:eastAsia="標楷體" w:cs="標楷體" w:hint="eastAsia"/>
          <w:kern w:val="0"/>
          <w:sz w:val="26"/>
          <w:szCs w:val="26"/>
        </w:rPr>
        <w:t>外審委員以具有教育部審定之教授資格者為原則。若無適當之教授人選，對於送審副教授以下資格案，可以具有教育部審定之副教授資格者擔任之，但不得審查升等教授案。必要時，亦得遴選未具教育部審定之教授資格，但其成就具備公認相當教授水準者擔任之，包括學術研究機構相當教授級之研究員。</w:t>
      </w:r>
    </w:p>
    <w:p w:rsidR="00F67BC2" w:rsidRPr="003C2E93" w:rsidRDefault="006363B3" w:rsidP="00E41A3A">
      <w:pPr>
        <w:pStyle w:val="a7"/>
        <w:numPr>
          <w:ilvl w:val="0"/>
          <w:numId w:val="9"/>
        </w:numPr>
        <w:spacing w:line="400" w:lineRule="exact"/>
        <w:ind w:leftChars="0" w:left="567" w:hanging="567"/>
        <w:jc w:val="both"/>
        <w:rPr>
          <w:rFonts w:ascii="標楷體" w:eastAsia="標楷體" w:hAnsi="標楷體"/>
          <w:sz w:val="26"/>
          <w:szCs w:val="26"/>
        </w:rPr>
      </w:pPr>
      <w:r w:rsidRPr="003C2E93">
        <w:rPr>
          <w:rFonts w:ascii="標楷體" w:eastAsia="標楷體" w:hAnsi="標楷體" w:hint="eastAsia"/>
          <w:sz w:val="26"/>
          <w:szCs w:val="26"/>
        </w:rPr>
        <w:t>外審委員資料庫提供參考，</w:t>
      </w:r>
      <w:r w:rsidR="00E41A3A" w:rsidRPr="003C2E93">
        <w:rPr>
          <w:rFonts w:ascii="標楷體" w:eastAsia="標楷體" w:hAnsi="標楷體" w:hint="eastAsia"/>
          <w:sz w:val="26"/>
          <w:szCs w:val="26"/>
        </w:rPr>
        <w:t>建置</w:t>
      </w:r>
      <w:r w:rsidRPr="003C2E93">
        <w:rPr>
          <w:rFonts w:ascii="標楷體" w:eastAsia="標楷體" w:hAnsi="標楷體" w:hint="eastAsia"/>
          <w:sz w:val="26"/>
          <w:szCs w:val="26"/>
        </w:rPr>
        <w:t>程序如下：</w:t>
      </w:r>
    </w:p>
    <w:p w:rsidR="00F67BC2" w:rsidRPr="003C2E93" w:rsidRDefault="00F67BC2" w:rsidP="00E41A3A">
      <w:pPr>
        <w:pStyle w:val="a7"/>
        <w:numPr>
          <w:ilvl w:val="1"/>
          <w:numId w:val="9"/>
        </w:numPr>
        <w:spacing w:line="400" w:lineRule="exact"/>
        <w:ind w:leftChars="0" w:left="1134" w:hanging="654"/>
        <w:jc w:val="both"/>
        <w:rPr>
          <w:rFonts w:ascii="標楷體" w:eastAsia="標楷體" w:hAnsi="Times New Roman" w:cs="標楷體"/>
          <w:kern w:val="0"/>
          <w:sz w:val="26"/>
          <w:szCs w:val="26"/>
        </w:rPr>
      </w:pPr>
      <w:r w:rsidRPr="003C2E93">
        <w:rPr>
          <w:rFonts w:ascii="標楷體" w:eastAsia="標楷體" w:hAnsi="Times New Roman" w:cs="標楷體" w:hint="eastAsia"/>
          <w:kern w:val="0"/>
          <w:sz w:val="26"/>
          <w:szCs w:val="26"/>
        </w:rPr>
        <w:t>系（所）教評會：</w:t>
      </w:r>
      <w:bookmarkStart w:id="0" w:name="_GoBack"/>
      <w:bookmarkEnd w:id="0"/>
      <w:r w:rsidRPr="003C2E93">
        <w:rPr>
          <w:rFonts w:ascii="標楷體" w:eastAsia="標楷體" w:hAnsi="Times New Roman" w:cs="標楷體" w:hint="eastAsia"/>
          <w:kern w:val="0"/>
          <w:sz w:val="26"/>
          <w:szCs w:val="26"/>
        </w:rPr>
        <w:t>各系(所)教評會應依前條規定遴選具實務經驗或業界經歷之專家學者名單送院(中心)教評會討論。</w:t>
      </w:r>
    </w:p>
    <w:p w:rsidR="00F67BC2" w:rsidRPr="003C2E93" w:rsidRDefault="00F67BC2" w:rsidP="00E41A3A">
      <w:pPr>
        <w:pStyle w:val="a7"/>
        <w:numPr>
          <w:ilvl w:val="1"/>
          <w:numId w:val="9"/>
        </w:numPr>
        <w:spacing w:line="400" w:lineRule="exact"/>
        <w:ind w:leftChars="0" w:left="1134" w:hanging="654"/>
        <w:jc w:val="both"/>
        <w:rPr>
          <w:rFonts w:ascii="標楷體" w:eastAsia="標楷體" w:hAnsi="Times New Roman" w:cs="標楷體"/>
          <w:kern w:val="0"/>
          <w:sz w:val="26"/>
          <w:szCs w:val="26"/>
        </w:rPr>
      </w:pPr>
      <w:r w:rsidRPr="003C2E93">
        <w:rPr>
          <w:rFonts w:ascii="標楷體" w:eastAsia="標楷體" w:hAnsi="Times New Roman" w:cs="標楷體" w:hint="eastAsia"/>
          <w:kern w:val="0"/>
          <w:sz w:val="26"/>
          <w:szCs w:val="26"/>
        </w:rPr>
        <w:t>院(中心)教評會：各學院彙整各系(所)教評會提送之專家學者名單送院(中心)教評會討論後，建立外審專家學者資料庫。</w:t>
      </w:r>
    </w:p>
    <w:p w:rsidR="00F67BC2" w:rsidRPr="003C2E93" w:rsidRDefault="00F67BC2" w:rsidP="00E41A3A">
      <w:pPr>
        <w:pStyle w:val="a7"/>
        <w:numPr>
          <w:ilvl w:val="1"/>
          <w:numId w:val="9"/>
        </w:numPr>
        <w:spacing w:line="400" w:lineRule="exact"/>
        <w:ind w:leftChars="0" w:left="1134" w:hanging="654"/>
        <w:jc w:val="both"/>
        <w:rPr>
          <w:rFonts w:ascii="標楷體" w:eastAsia="標楷體" w:hAnsi="Times New Roman" w:cs="標楷體"/>
          <w:kern w:val="0"/>
          <w:sz w:val="26"/>
          <w:szCs w:val="26"/>
        </w:rPr>
      </w:pPr>
      <w:r w:rsidRPr="003C2E93">
        <w:rPr>
          <w:rFonts w:ascii="標楷體" w:eastAsia="標楷體" w:hAnsi="Times New Roman" w:cs="標楷體" w:hint="eastAsia"/>
          <w:kern w:val="0"/>
          <w:sz w:val="26"/>
          <w:szCs w:val="26"/>
        </w:rPr>
        <w:t>校教評會：各學院外審委員資料庫提送校教評會備查。</w:t>
      </w:r>
    </w:p>
    <w:p w:rsidR="00F67BC2" w:rsidRPr="003C2E93" w:rsidRDefault="00F67BC2" w:rsidP="00E41A3A">
      <w:pPr>
        <w:pStyle w:val="a7"/>
        <w:numPr>
          <w:ilvl w:val="1"/>
          <w:numId w:val="9"/>
        </w:numPr>
        <w:spacing w:line="400" w:lineRule="exact"/>
        <w:ind w:leftChars="0" w:left="1134" w:hanging="654"/>
        <w:jc w:val="both"/>
        <w:rPr>
          <w:rFonts w:ascii="標楷體" w:eastAsia="標楷體" w:hAnsi="Times New Roman" w:cs="標楷體"/>
          <w:kern w:val="0"/>
          <w:sz w:val="26"/>
          <w:szCs w:val="26"/>
        </w:rPr>
      </w:pPr>
      <w:r w:rsidRPr="003C2E93">
        <w:rPr>
          <w:rFonts w:ascii="標楷體" w:eastAsia="標楷體" w:hAnsi="Times New Roman" w:cs="標楷體" w:hint="eastAsia"/>
          <w:kern w:val="0"/>
          <w:sz w:val="26"/>
          <w:szCs w:val="26"/>
        </w:rPr>
        <w:t>各級教評會得隨時依實際需要依前項規定程序増刪外審委員名單。</w:t>
      </w:r>
    </w:p>
    <w:p w:rsidR="00DF344E" w:rsidRPr="003C2E93" w:rsidRDefault="00F67BC2" w:rsidP="00E41A3A">
      <w:pPr>
        <w:pStyle w:val="a7"/>
        <w:numPr>
          <w:ilvl w:val="0"/>
          <w:numId w:val="9"/>
        </w:numPr>
        <w:spacing w:line="400" w:lineRule="exact"/>
        <w:ind w:leftChars="0" w:left="567" w:hanging="567"/>
        <w:jc w:val="both"/>
        <w:rPr>
          <w:rFonts w:ascii="標楷體" w:eastAsia="標楷體" w:hAnsi="標楷體"/>
          <w:sz w:val="26"/>
          <w:szCs w:val="26"/>
        </w:rPr>
      </w:pPr>
      <w:r w:rsidRPr="003C2E93">
        <w:rPr>
          <w:rFonts w:ascii="標楷體" w:eastAsia="標楷體" w:hAnsi="標楷體" w:hint="eastAsia"/>
          <w:color w:val="000000"/>
          <w:sz w:val="26"/>
          <w:szCs w:val="26"/>
        </w:rPr>
        <w:t>本要點經</w:t>
      </w:r>
      <w:r w:rsidRPr="003C2E93">
        <w:rPr>
          <w:rFonts w:ascii="標楷體" w:eastAsia="標楷體" w:hAnsi="標楷體" w:hint="eastAsia"/>
          <w:sz w:val="26"/>
          <w:szCs w:val="26"/>
        </w:rPr>
        <w:t>校教師評審委員會</w:t>
      </w:r>
      <w:r w:rsidR="00F37070" w:rsidRPr="003C2E93">
        <w:rPr>
          <w:rFonts w:ascii="標楷體" w:eastAsia="標楷體" w:hAnsi="標楷體" w:hint="eastAsia"/>
          <w:sz w:val="26"/>
          <w:szCs w:val="26"/>
        </w:rPr>
        <w:t>及校務會議</w:t>
      </w:r>
      <w:r w:rsidRPr="003C2E93">
        <w:rPr>
          <w:rFonts w:ascii="標楷體" w:eastAsia="標楷體" w:hAnsi="標楷體" w:hint="eastAsia"/>
          <w:color w:val="000000"/>
          <w:sz w:val="26"/>
          <w:szCs w:val="26"/>
        </w:rPr>
        <w:t>通過，陳請校長核定後施行，修正時亦同。</w:t>
      </w:r>
    </w:p>
    <w:p w:rsidR="008933E7" w:rsidRDefault="008933E7">
      <w:pPr>
        <w:widowControl/>
        <w:rPr>
          <w:rFonts w:ascii="標楷體" w:eastAsia="標楷體" w:hAnsi="標楷體"/>
          <w:szCs w:val="24"/>
        </w:rPr>
      </w:pPr>
    </w:p>
    <w:sectPr w:rsidR="008933E7" w:rsidSect="00E41A3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2F0" w:rsidRDefault="00F622F0" w:rsidP="004659C2">
      <w:r>
        <w:separator/>
      </w:r>
    </w:p>
  </w:endnote>
  <w:endnote w:type="continuationSeparator" w:id="0">
    <w:p w:rsidR="00F622F0" w:rsidRDefault="00F622F0" w:rsidP="0046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2F0" w:rsidRDefault="00F622F0" w:rsidP="004659C2">
      <w:r>
        <w:separator/>
      </w:r>
    </w:p>
  </w:footnote>
  <w:footnote w:type="continuationSeparator" w:id="0">
    <w:p w:rsidR="00F622F0" w:rsidRDefault="00F622F0" w:rsidP="00465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0A2A"/>
    <w:multiLevelType w:val="hybridMultilevel"/>
    <w:tmpl w:val="3B5229F4"/>
    <w:lvl w:ilvl="0" w:tplc="C8E8F37A">
      <w:start w:val="1"/>
      <w:numFmt w:val="ideographDigital"/>
      <w:lvlText w:val="(%1)"/>
      <w:lvlJc w:val="left"/>
      <w:pPr>
        <w:ind w:left="960" w:hanging="480"/>
      </w:pPr>
      <w:rPr>
        <w:rFonts w:hint="eastAsia"/>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A4C2EA6"/>
    <w:multiLevelType w:val="hybridMultilevel"/>
    <w:tmpl w:val="BCB4E8BE"/>
    <w:lvl w:ilvl="0" w:tplc="60D89E9E">
      <w:start w:val="1"/>
      <w:numFmt w:val="ideographDigit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6E0E27"/>
    <w:multiLevelType w:val="hybridMultilevel"/>
    <w:tmpl w:val="85B85134"/>
    <w:lvl w:ilvl="0" w:tplc="6080AE14">
      <w:start w:val="1"/>
      <w:numFmt w:val="taiwaneseCountingThousand"/>
      <w:lvlText w:val="%1、"/>
      <w:lvlJc w:val="left"/>
      <w:pPr>
        <w:ind w:left="502" w:hanging="360"/>
      </w:pPr>
      <w:rPr>
        <w:rFonts w:hint="default"/>
      </w:rPr>
    </w:lvl>
    <w:lvl w:ilvl="1" w:tplc="60D89E9E">
      <w:start w:val="1"/>
      <w:numFmt w:val="ideographDigital"/>
      <w:lvlText w:val="(%2)"/>
      <w:lvlJc w:val="left"/>
      <w:pPr>
        <w:ind w:left="960" w:hanging="480"/>
      </w:pPr>
      <w:rPr>
        <w:rFonts w:hint="eastAsia"/>
      </w:rPr>
    </w:lvl>
    <w:lvl w:ilvl="2" w:tplc="1A0A5418">
      <w:start w:val="1"/>
      <w:numFmt w:val="decimalFullWidth"/>
      <w:lvlText w:val="%3、"/>
      <w:lvlJc w:val="left"/>
      <w:pPr>
        <w:ind w:left="1440" w:hanging="480"/>
      </w:pPr>
      <w:rPr>
        <w:rFonts w:hint="default"/>
        <w:lang w:val="en-US"/>
      </w:rPr>
    </w:lvl>
    <w:lvl w:ilvl="3" w:tplc="5F908004">
      <w:start w:val="1"/>
      <w:numFmt w:val="decimal"/>
      <w:lvlText w:val="%4."/>
      <w:lvlJc w:val="left"/>
      <w:pPr>
        <w:ind w:left="3196" w:hanging="360"/>
      </w:pPr>
      <w:rPr>
        <w:rFonts w:cs="Times New Roman" w:hint="default"/>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5B3FE4"/>
    <w:multiLevelType w:val="hybridMultilevel"/>
    <w:tmpl w:val="04661718"/>
    <w:lvl w:ilvl="0" w:tplc="6080AE14">
      <w:start w:val="1"/>
      <w:numFmt w:val="taiwaneseCountingThousand"/>
      <w:lvlText w:val="%1、"/>
      <w:lvlJc w:val="left"/>
      <w:pPr>
        <w:ind w:left="502" w:hanging="360"/>
      </w:pPr>
      <w:rPr>
        <w:rFonts w:hint="default"/>
      </w:rPr>
    </w:lvl>
    <w:lvl w:ilvl="1" w:tplc="60D89E9E">
      <w:start w:val="1"/>
      <w:numFmt w:val="ideographDigital"/>
      <w:lvlText w:val="(%2)"/>
      <w:lvlJc w:val="left"/>
      <w:pPr>
        <w:ind w:left="960" w:hanging="480"/>
      </w:pPr>
      <w:rPr>
        <w:rFonts w:hint="eastAsia"/>
      </w:rPr>
    </w:lvl>
    <w:lvl w:ilvl="2" w:tplc="1A0A5418">
      <w:start w:val="1"/>
      <w:numFmt w:val="decimalFullWidth"/>
      <w:lvlText w:val="%3、"/>
      <w:lvlJc w:val="left"/>
      <w:pPr>
        <w:ind w:left="1440" w:hanging="480"/>
      </w:pPr>
      <w:rPr>
        <w:rFonts w:hint="default"/>
        <w:lang w:val="en-US"/>
      </w:rPr>
    </w:lvl>
    <w:lvl w:ilvl="3" w:tplc="0409000F">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0969B7"/>
    <w:multiLevelType w:val="hybridMultilevel"/>
    <w:tmpl w:val="585663C8"/>
    <w:lvl w:ilvl="0" w:tplc="934E7E86">
      <w:start w:val="1"/>
      <w:numFmt w:val="taiwaneseCountingThousand"/>
      <w:lvlText w:val="(%1)"/>
      <w:lvlJc w:val="left"/>
      <w:pPr>
        <w:ind w:left="763" w:hanging="480"/>
      </w:pPr>
      <w:rPr>
        <w:rFonts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nsid w:val="548A778A"/>
    <w:multiLevelType w:val="hybridMultilevel"/>
    <w:tmpl w:val="7B3041B4"/>
    <w:lvl w:ilvl="0" w:tplc="60D89E9E">
      <w:start w:val="1"/>
      <w:numFmt w:val="ideographDigit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F75AAE"/>
    <w:multiLevelType w:val="hybridMultilevel"/>
    <w:tmpl w:val="85B85134"/>
    <w:lvl w:ilvl="0" w:tplc="6080AE14">
      <w:start w:val="1"/>
      <w:numFmt w:val="taiwaneseCountingThousand"/>
      <w:lvlText w:val="%1、"/>
      <w:lvlJc w:val="left"/>
      <w:pPr>
        <w:ind w:left="502" w:hanging="360"/>
      </w:pPr>
      <w:rPr>
        <w:rFonts w:hint="default"/>
      </w:rPr>
    </w:lvl>
    <w:lvl w:ilvl="1" w:tplc="60D89E9E">
      <w:start w:val="1"/>
      <w:numFmt w:val="ideographDigital"/>
      <w:lvlText w:val="(%2)"/>
      <w:lvlJc w:val="left"/>
      <w:pPr>
        <w:ind w:left="960" w:hanging="480"/>
      </w:pPr>
      <w:rPr>
        <w:rFonts w:hint="eastAsia"/>
      </w:rPr>
    </w:lvl>
    <w:lvl w:ilvl="2" w:tplc="1A0A5418">
      <w:start w:val="1"/>
      <w:numFmt w:val="decimalFullWidth"/>
      <w:lvlText w:val="%3、"/>
      <w:lvlJc w:val="left"/>
      <w:pPr>
        <w:ind w:left="1440" w:hanging="480"/>
      </w:pPr>
      <w:rPr>
        <w:rFonts w:hint="default"/>
        <w:lang w:val="en-US"/>
      </w:rPr>
    </w:lvl>
    <w:lvl w:ilvl="3" w:tplc="5F908004">
      <w:start w:val="1"/>
      <w:numFmt w:val="decimal"/>
      <w:lvlText w:val="%4."/>
      <w:lvlJc w:val="left"/>
      <w:pPr>
        <w:ind w:left="3196" w:hanging="360"/>
      </w:pPr>
      <w:rPr>
        <w:rFonts w:cs="Times New Roman" w:hint="default"/>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DAE0252"/>
    <w:multiLevelType w:val="hybridMultilevel"/>
    <w:tmpl w:val="4E4AFC72"/>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4"/>
  </w:num>
  <w:num w:numId="2">
    <w:abstractNumId w:val="6"/>
  </w:num>
  <w:num w:numId="3">
    <w:abstractNumId w:val="3"/>
  </w:num>
  <w:num w:numId="4">
    <w:abstractNumId w:val="2"/>
  </w:num>
  <w:num w:numId="5">
    <w:abstractNumId w:val="1"/>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EB"/>
    <w:rsid w:val="00037819"/>
    <w:rsid w:val="00044725"/>
    <w:rsid w:val="00057233"/>
    <w:rsid w:val="00060F10"/>
    <w:rsid w:val="000D6340"/>
    <w:rsid w:val="001163D2"/>
    <w:rsid w:val="00120867"/>
    <w:rsid w:val="001F60BD"/>
    <w:rsid w:val="00225C52"/>
    <w:rsid w:val="00257EF8"/>
    <w:rsid w:val="00283DE5"/>
    <w:rsid w:val="002B6129"/>
    <w:rsid w:val="0030295C"/>
    <w:rsid w:val="00363E39"/>
    <w:rsid w:val="00386300"/>
    <w:rsid w:val="003C2E93"/>
    <w:rsid w:val="003C4E14"/>
    <w:rsid w:val="003F70E2"/>
    <w:rsid w:val="00411A65"/>
    <w:rsid w:val="004659C2"/>
    <w:rsid w:val="005118A7"/>
    <w:rsid w:val="00553544"/>
    <w:rsid w:val="00553876"/>
    <w:rsid w:val="005C3284"/>
    <w:rsid w:val="00606726"/>
    <w:rsid w:val="006277AD"/>
    <w:rsid w:val="006363B3"/>
    <w:rsid w:val="00652291"/>
    <w:rsid w:val="006C71F1"/>
    <w:rsid w:val="006E2D6F"/>
    <w:rsid w:val="006F14AD"/>
    <w:rsid w:val="0075751C"/>
    <w:rsid w:val="0077221E"/>
    <w:rsid w:val="007E5C8A"/>
    <w:rsid w:val="00813498"/>
    <w:rsid w:val="00843607"/>
    <w:rsid w:val="00851BFA"/>
    <w:rsid w:val="008736B0"/>
    <w:rsid w:val="0089318A"/>
    <w:rsid w:val="008933E7"/>
    <w:rsid w:val="008B1C62"/>
    <w:rsid w:val="008D4456"/>
    <w:rsid w:val="008E4864"/>
    <w:rsid w:val="009164A3"/>
    <w:rsid w:val="00944B57"/>
    <w:rsid w:val="0095034F"/>
    <w:rsid w:val="00951277"/>
    <w:rsid w:val="0095477E"/>
    <w:rsid w:val="009B6353"/>
    <w:rsid w:val="009C1513"/>
    <w:rsid w:val="00A32E48"/>
    <w:rsid w:val="00A6555F"/>
    <w:rsid w:val="00AA204A"/>
    <w:rsid w:val="00B42FD9"/>
    <w:rsid w:val="00B65C45"/>
    <w:rsid w:val="00B950DE"/>
    <w:rsid w:val="00BE09E0"/>
    <w:rsid w:val="00C120EA"/>
    <w:rsid w:val="00C71FF5"/>
    <w:rsid w:val="00CF2FEB"/>
    <w:rsid w:val="00D809B4"/>
    <w:rsid w:val="00DA759C"/>
    <w:rsid w:val="00DD30A9"/>
    <w:rsid w:val="00DF072A"/>
    <w:rsid w:val="00DF344E"/>
    <w:rsid w:val="00E05D69"/>
    <w:rsid w:val="00E30DD8"/>
    <w:rsid w:val="00E41A3A"/>
    <w:rsid w:val="00E67387"/>
    <w:rsid w:val="00E843C4"/>
    <w:rsid w:val="00ED0164"/>
    <w:rsid w:val="00F020FF"/>
    <w:rsid w:val="00F2550C"/>
    <w:rsid w:val="00F37070"/>
    <w:rsid w:val="00F557B9"/>
    <w:rsid w:val="00F622F0"/>
    <w:rsid w:val="00F67BC2"/>
    <w:rsid w:val="00F9679B"/>
    <w:rsid w:val="00FB5A2B"/>
    <w:rsid w:val="00FB5D5A"/>
    <w:rsid w:val="00FD671E"/>
    <w:rsid w:val="00FF0D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5C2644-9F04-4CC5-9DAA-44899F91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9C2"/>
    <w:pPr>
      <w:tabs>
        <w:tab w:val="center" w:pos="4153"/>
        <w:tab w:val="right" w:pos="8306"/>
      </w:tabs>
      <w:snapToGrid w:val="0"/>
    </w:pPr>
    <w:rPr>
      <w:sz w:val="20"/>
      <w:szCs w:val="20"/>
    </w:rPr>
  </w:style>
  <w:style w:type="character" w:customStyle="1" w:styleId="a4">
    <w:name w:val="頁首 字元"/>
    <w:basedOn w:val="a0"/>
    <w:link w:val="a3"/>
    <w:uiPriority w:val="99"/>
    <w:rsid w:val="004659C2"/>
    <w:rPr>
      <w:sz w:val="20"/>
      <w:szCs w:val="20"/>
    </w:rPr>
  </w:style>
  <w:style w:type="paragraph" w:styleId="a5">
    <w:name w:val="footer"/>
    <w:basedOn w:val="a"/>
    <w:link w:val="a6"/>
    <w:uiPriority w:val="99"/>
    <w:unhideWhenUsed/>
    <w:rsid w:val="004659C2"/>
    <w:pPr>
      <w:tabs>
        <w:tab w:val="center" w:pos="4153"/>
        <w:tab w:val="right" w:pos="8306"/>
      </w:tabs>
      <w:snapToGrid w:val="0"/>
    </w:pPr>
    <w:rPr>
      <w:sz w:val="20"/>
      <w:szCs w:val="20"/>
    </w:rPr>
  </w:style>
  <w:style w:type="character" w:customStyle="1" w:styleId="a6">
    <w:name w:val="頁尾 字元"/>
    <w:basedOn w:val="a0"/>
    <w:link w:val="a5"/>
    <w:uiPriority w:val="99"/>
    <w:rsid w:val="004659C2"/>
    <w:rPr>
      <w:sz w:val="20"/>
      <w:szCs w:val="20"/>
    </w:rPr>
  </w:style>
  <w:style w:type="paragraph" w:styleId="a7">
    <w:name w:val="List Paragraph"/>
    <w:basedOn w:val="a"/>
    <w:uiPriority w:val="34"/>
    <w:qFormat/>
    <w:rsid w:val="00E67387"/>
    <w:pPr>
      <w:ind w:leftChars="200" w:left="480"/>
    </w:pPr>
  </w:style>
  <w:style w:type="paragraph" w:styleId="a8">
    <w:name w:val="Balloon Text"/>
    <w:basedOn w:val="a"/>
    <w:link w:val="a9"/>
    <w:uiPriority w:val="99"/>
    <w:semiHidden/>
    <w:unhideWhenUsed/>
    <w:rsid w:val="009164A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164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2016-03-25T03:24:00Z</cp:lastPrinted>
  <dcterms:created xsi:type="dcterms:W3CDTF">2016-12-02T06:55:00Z</dcterms:created>
  <dcterms:modified xsi:type="dcterms:W3CDTF">2016-12-02T07:00:00Z</dcterms:modified>
</cp:coreProperties>
</file>